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ACA" w:rsidRDefault="00341184">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HŽ PUTNIČKOG PRIJEVOZA ZA  2025. GODINU I PROJEKCIJA PLANA ZA 2026. I 2027. GODINU</w:t>
      </w:r>
      <w:r>
        <w:rPr>
          <w:rFonts w:ascii="Calibri" w:hAnsi="Calibri" w:cs="Calibri"/>
          <w:b/>
          <w:sz w:val="28"/>
        </w:rPr>
        <w:br w:type="page"/>
      </w:r>
    </w:p>
    <w:p w:rsidR="00D65ACA" w:rsidRDefault="00341184">
      <w:pPr>
        <w:spacing w:line="240" w:lineRule="auto"/>
      </w:pPr>
      <w:r>
        <w:rPr>
          <w:rFonts w:ascii="Calibri" w:hAnsi="Calibri" w:cs="Calibri"/>
          <w:b/>
          <w:u w:val="single"/>
        </w:rPr>
        <w:lastRenderedPageBreak/>
        <w:br/>
        <w:t>UVOD</w:t>
      </w:r>
    </w:p>
    <w:p w:rsidR="00D65ACA" w:rsidRDefault="00341184">
      <w:pPr>
        <w:spacing w:line="240" w:lineRule="auto"/>
        <w:jc w:val="both"/>
      </w:pPr>
      <w:r>
        <w:rPr>
          <w:rFonts w:ascii="Calibri" w:hAnsi="Calibri" w:cs="Calibri"/>
          <w:color w:val="000000"/>
        </w:rPr>
        <w:t xml:space="preserve">Željeznički putnički prijevoz organizira se na 2.617 kilometara pruga, dnevno se pokreće oko 760 vlakova, a zbog izvođenja radova na pružnoj mreži i stanja infrastrukture vrlo su niske komercijalne brzine prometovanja vlakova. </w:t>
      </w:r>
    </w:p>
    <w:p w:rsidR="00D65ACA" w:rsidRDefault="00341184">
      <w:pPr>
        <w:spacing w:line="240" w:lineRule="auto"/>
        <w:jc w:val="both"/>
      </w:pPr>
      <w:r>
        <w:rPr>
          <w:rFonts w:ascii="Calibri" w:hAnsi="Calibri" w:cs="Calibri"/>
          <w:color w:val="000000"/>
        </w:rPr>
        <w:t xml:space="preserve">Kako bi se ublažio navedeni negativni utjecaj planira se daljnje provođenje projekata besplatnog željezničkog prijevoza  učenika osnovnih i srednjih škola, redovnih studenata te umirovljenika i osoba starijih od 65 godina. Projekti se provode sa svrhom poticanja i stvaranja navike korištenja javnoga željezničkog prijevoza, koji djelomično predstavljaju i kompenzacije za vrijeme radova na željezničkoj infrastrukturi.  </w:t>
      </w:r>
    </w:p>
    <w:p w:rsidR="00D65ACA" w:rsidRDefault="00341184">
      <w:pPr>
        <w:spacing w:line="240" w:lineRule="auto"/>
        <w:jc w:val="both"/>
      </w:pPr>
      <w:r>
        <w:rPr>
          <w:rFonts w:ascii="Calibri" w:hAnsi="Calibri" w:cs="Calibri"/>
          <w:color w:val="000000"/>
        </w:rPr>
        <w:t>Također, nastavlja se  provođenje mjere besplatnog prijevoza za stanovnike pogođene potresom na području Sisačko-moslavačke županije te besplatan prijevoz ukrajinskih državljana na svim relacijama unutar Republike Hrvatske.</w:t>
      </w:r>
    </w:p>
    <w:p w:rsidR="00D65ACA" w:rsidRDefault="00341184">
      <w:pPr>
        <w:spacing w:line="240" w:lineRule="auto"/>
        <w:jc w:val="both"/>
      </w:pPr>
      <w:r>
        <w:rPr>
          <w:rFonts w:ascii="Calibri" w:hAnsi="Calibri" w:cs="Calibri"/>
          <w:color w:val="000000"/>
        </w:rPr>
        <w:t xml:space="preserve">Remonti pruga nastavljaju se na većem dijelu mreže HŽ-a te se planiraju radovi na sljedećim dionicama: DG Savski Marof – Zagreb GK, Zagreb GK - Dugo Selo – Križevci – Koprivnica – Botovo, Zagreb GK – Dugo Selo – Novska – Tovarnik DG, Rijeka – Šapjane DG, Karlovac – Kamanje DG, Zagreb GK – Rijeka na relacijama Hrvatski Leskovac –Karlovac, Generalski Stol – Gornje Dubrave, Zaprešić – Zabok – Varaždin – Kotoriba – Čakovec – DG, Zagreb GK – Velika Gorica – Sisak – Novska na relacijama Sisak – Sisak Caprag - Volinja i Sunja –Novska, Banova Jaruga – Pčelić, Zagreb GK – Oštarije – Knin – Split, Koprivnica-Osijek – Dalj. </w:t>
      </w:r>
    </w:p>
    <w:p w:rsidR="00D65ACA" w:rsidRDefault="00341184">
      <w:pPr>
        <w:spacing w:line="240" w:lineRule="auto"/>
        <w:jc w:val="both"/>
      </w:pPr>
      <w:r>
        <w:rPr>
          <w:rFonts w:ascii="Calibri" w:hAnsi="Calibri" w:cs="Calibri"/>
          <w:color w:val="000000"/>
        </w:rPr>
        <w:t>Nadalje, radi osiguranja bolje prometne povezanosti u voznom redu 2024./2025. uvedeno je oko 30 novih vlakova na relacijama Zagreb GK – Velika Gorica – Zagreb GK, Zagreb – Rijeka – Zagreb,  Zabok – Krapina – Đurmanec – Rogatec i obrnuto, Zagreb GK – Bjelovar – Zagreb GK, Beli Manastir – Magyarboli – Beli Manastir., Zagreb – Ljubljana,  Zagreb – Pula te Split – Kaštel Stari. Također, frekvencija vlakova kontinuirano će se povećavati u skladu s daljnjom isporukom novih vlakova i završetkom obnove pruga.</w:t>
      </w:r>
    </w:p>
    <w:p w:rsidR="00D65ACA" w:rsidRDefault="00341184">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D65ACA">
        <w:tc>
          <w:tcPr>
            <w:tcW w:w="2000" w:type="pct"/>
            <w:shd w:val="clear" w:color="auto" w:fill="BCDFFB"/>
            <w:vAlign w:val="center"/>
          </w:tcPr>
          <w:p w:rsidR="00D65ACA" w:rsidRDefault="00D65ACA">
            <w:pPr>
              <w:spacing w:after="0" w:line="240" w:lineRule="auto"/>
              <w:jc w:val="center"/>
            </w:pP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Plan za 2025.</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D65ACA" w:rsidRDefault="00341184">
            <w:pPr>
              <w:spacing w:after="0" w:line="240" w:lineRule="auto"/>
              <w:jc w:val="center"/>
            </w:pPr>
            <w:r>
              <w:rPr>
                <w:rFonts w:ascii="Calibri" w:hAnsi="Calibri" w:cs="Calibri"/>
                <w:b/>
                <w:sz w:val="18"/>
              </w:rPr>
              <w:t>Indeks</w:t>
            </w:r>
          </w:p>
        </w:tc>
      </w:tr>
      <w:tr w:rsidR="00D65ACA">
        <w:tc>
          <w:tcPr>
            <w:tcW w:w="2000" w:type="pct"/>
            <w:vAlign w:val="bottom"/>
          </w:tcPr>
          <w:p w:rsidR="00D65ACA" w:rsidRDefault="00341184">
            <w:pPr>
              <w:spacing w:after="0" w:line="240" w:lineRule="auto"/>
            </w:pPr>
            <w:r>
              <w:rPr>
                <w:rFonts w:ascii="Calibri" w:hAnsi="Calibri" w:cs="Calibri"/>
                <w:sz w:val="18"/>
              </w:rPr>
              <w:t>PRIHODI POSLOVANJA</w:t>
            </w:r>
          </w:p>
        </w:tc>
        <w:tc>
          <w:tcPr>
            <w:tcW w:w="800" w:type="pct"/>
            <w:vAlign w:val="bottom"/>
          </w:tcPr>
          <w:p w:rsidR="00D65ACA" w:rsidRDefault="00341184">
            <w:pPr>
              <w:spacing w:after="0" w:line="240" w:lineRule="auto"/>
              <w:jc w:val="right"/>
            </w:pPr>
            <w:r>
              <w:rPr>
                <w:rFonts w:ascii="Calibri" w:hAnsi="Calibri" w:cs="Calibri"/>
                <w:sz w:val="18"/>
              </w:rPr>
              <w:t>187.330.999</w:t>
            </w:r>
          </w:p>
        </w:tc>
        <w:tc>
          <w:tcPr>
            <w:tcW w:w="800" w:type="pct"/>
            <w:vAlign w:val="bottom"/>
          </w:tcPr>
          <w:p w:rsidR="00D65ACA" w:rsidRDefault="00341184">
            <w:pPr>
              <w:spacing w:after="0" w:line="240" w:lineRule="auto"/>
              <w:jc w:val="right"/>
            </w:pPr>
            <w:r>
              <w:rPr>
                <w:rFonts w:ascii="Calibri" w:hAnsi="Calibri" w:cs="Calibri"/>
                <w:sz w:val="18"/>
              </w:rPr>
              <w:t>9.436.302</w:t>
            </w:r>
          </w:p>
        </w:tc>
        <w:tc>
          <w:tcPr>
            <w:tcW w:w="800" w:type="pct"/>
            <w:vAlign w:val="bottom"/>
          </w:tcPr>
          <w:p w:rsidR="00D65ACA" w:rsidRDefault="00341184">
            <w:pPr>
              <w:spacing w:after="0" w:line="240" w:lineRule="auto"/>
              <w:jc w:val="right"/>
            </w:pPr>
            <w:r>
              <w:rPr>
                <w:rFonts w:ascii="Calibri" w:hAnsi="Calibri" w:cs="Calibri"/>
                <w:sz w:val="18"/>
              </w:rPr>
              <w:t>196.767.301</w:t>
            </w:r>
          </w:p>
        </w:tc>
        <w:tc>
          <w:tcPr>
            <w:tcW w:w="400" w:type="pct"/>
            <w:vAlign w:val="bottom"/>
          </w:tcPr>
          <w:p w:rsidR="00D65ACA" w:rsidRDefault="00341184">
            <w:pPr>
              <w:spacing w:after="0" w:line="240" w:lineRule="auto"/>
              <w:jc w:val="right"/>
            </w:pPr>
            <w:r>
              <w:rPr>
                <w:rFonts w:ascii="Calibri" w:hAnsi="Calibri" w:cs="Calibri"/>
                <w:sz w:val="18"/>
              </w:rPr>
              <w:t>105,0</w:t>
            </w:r>
          </w:p>
        </w:tc>
      </w:tr>
      <w:tr w:rsidR="00D65ACA">
        <w:tc>
          <w:tcPr>
            <w:tcW w:w="2000" w:type="pct"/>
            <w:vAlign w:val="bottom"/>
          </w:tcPr>
          <w:p w:rsidR="00D65ACA" w:rsidRDefault="00341184">
            <w:pPr>
              <w:spacing w:after="0" w:line="240" w:lineRule="auto"/>
            </w:pPr>
            <w:r>
              <w:rPr>
                <w:rFonts w:ascii="Calibri" w:hAnsi="Calibri" w:cs="Calibri"/>
                <w:sz w:val="18"/>
              </w:rPr>
              <w:t>PRIHODI OD PRODAJE NEFINANCIJSKE IMOVINE</w:t>
            </w:r>
          </w:p>
        </w:tc>
        <w:tc>
          <w:tcPr>
            <w:tcW w:w="800" w:type="pct"/>
            <w:vAlign w:val="bottom"/>
          </w:tcPr>
          <w:p w:rsidR="00D65ACA" w:rsidRDefault="00341184">
            <w:pPr>
              <w:spacing w:after="0" w:line="240" w:lineRule="auto"/>
              <w:jc w:val="right"/>
            </w:pPr>
            <w:r>
              <w:rPr>
                <w:rFonts w:ascii="Calibri" w:hAnsi="Calibri" w:cs="Calibri"/>
                <w:sz w:val="18"/>
              </w:rPr>
              <w:t>50.000</w:t>
            </w:r>
          </w:p>
        </w:tc>
        <w:tc>
          <w:tcPr>
            <w:tcW w:w="800" w:type="pct"/>
            <w:vAlign w:val="bottom"/>
          </w:tcPr>
          <w:p w:rsidR="00D65ACA" w:rsidRDefault="00341184">
            <w:pPr>
              <w:spacing w:after="0" w:line="240" w:lineRule="auto"/>
              <w:jc w:val="right"/>
            </w:pPr>
            <w:r>
              <w:rPr>
                <w:rFonts w:ascii="Calibri" w:hAnsi="Calibri" w:cs="Calibri"/>
                <w:sz w:val="18"/>
              </w:rPr>
              <w:t>112.000</w:t>
            </w:r>
          </w:p>
        </w:tc>
        <w:tc>
          <w:tcPr>
            <w:tcW w:w="800" w:type="pct"/>
            <w:vAlign w:val="bottom"/>
          </w:tcPr>
          <w:p w:rsidR="00D65ACA" w:rsidRDefault="00341184">
            <w:pPr>
              <w:spacing w:after="0" w:line="240" w:lineRule="auto"/>
              <w:jc w:val="right"/>
            </w:pPr>
            <w:r>
              <w:rPr>
                <w:rFonts w:ascii="Calibri" w:hAnsi="Calibri" w:cs="Calibri"/>
                <w:sz w:val="18"/>
              </w:rPr>
              <w:t>162.000</w:t>
            </w:r>
          </w:p>
        </w:tc>
        <w:tc>
          <w:tcPr>
            <w:tcW w:w="400" w:type="pct"/>
            <w:vAlign w:val="bottom"/>
          </w:tcPr>
          <w:p w:rsidR="00D65ACA" w:rsidRDefault="00341184">
            <w:pPr>
              <w:spacing w:after="0" w:line="240" w:lineRule="auto"/>
              <w:jc w:val="right"/>
            </w:pPr>
            <w:r>
              <w:rPr>
                <w:rFonts w:ascii="Calibri" w:hAnsi="Calibri" w:cs="Calibri"/>
                <w:sz w:val="18"/>
              </w:rPr>
              <w:t>324,0</w:t>
            </w:r>
          </w:p>
        </w:tc>
      </w:tr>
      <w:tr w:rsidR="00D65ACA">
        <w:tc>
          <w:tcPr>
            <w:tcW w:w="2000" w:type="pct"/>
            <w:vAlign w:val="bottom"/>
          </w:tcPr>
          <w:p w:rsidR="00D65ACA" w:rsidRDefault="00341184">
            <w:pPr>
              <w:spacing w:after="0" w:line="240" w:lineRule="auto"/>
            </w:pPr>
            <w:r>
              <w:rPr>
                <w:rFonts w:ascii="Calibri" w:hAnsi="Calibri" w:cs="Calibri"/>
                <w:b/>
                <w:sz w:val="18"/>
              </w:rPr>
              <w:t>UKUPNI PRIHODI</w:t>
            </w:r>
          </w:p>
        </w:tc>
        <w:tc>
          <w:tcPr>
            <w:tcW w:w="800" w:type="pct"/>
            <w:vAlign w:val="bottom"/>
          </w:tcPr>
          <w:p w:rsidR="00D65ACA" w:rsidRDefault="00341184">
            <w:pPr>
              <w:spacing w:after="0" w:line="240" w:lineRule="auto"/>
              <w:jc w:val="right"/>
            </w:pPr>
            <w:r>
              <w:rPr>
                <w:rFonts w:ascii="Calibri" w:hAnsi="Calibri" w:cs="Calibri"/>
                <w:b/>
                <w:sz w:val="18"/>
              </w:rPr>
              <w:t>187.380.999</w:t>
            </w:r>
          </w:p>
        </w:tc>
        <w:tc>
          <w:tcPr>
            <w:tcW w:w="800" w:type="pct"/>
            <w:vAlign w:val="bottom"/>
          </w:tcPr>
          <w:p w:rsidR="00D65ACA" w:rsidRDefault="00341184">
            <w:pPr>
              <w:spacing w:after="0" w:line="240" w:lineRule="auto"/>
              <w:jc w:val="right"/>
            </w:pPr>
            <w:r>
              <w:rPr>
                <w:rFonts w:ascii="Calibri" w:hAnsi="Calibri" w:cs="Calibri"/>
                <w:b/>
                <w:sz w:val="18"/>
              </w:rPr>
              <w:t>9.548.302</w:t>
            </w:r>
          </w:p>
        </w:tc>
        <w:tc>
          <w:tcPr>
            <w:tcW w:w="800" w:type="pct"/>
            <w:vAlign w:val="bottom"/>
          </w:tcPr>
          <w:p w:rsidR="00D65ACA" w:rsidRDefault="00341184">
            <w:pPr>
              <w:spacing w:after="0" w:line="240" w:lineRule="auto"/>
              <w:jc w:val="right"/>
            </w:pPr>
            <w:r>
              <w:rPr>
                <w:rFonts w:ascii="Calibri" w:hAnsi="Calibri" w:cs="Calibri"/>
                <w:b/>
                <w:sz w:val="18"/>
              </w:rPr>
              <w:t>196.929.301</w:t>
            </w:r>
          </w:p>
        </w:tc>
        <w:tc>
          <w:tcPr>
            <w:tcW w:w="400" w:type="pct"/>
            <w:vAlign w:val="bottom"/>
          </w:tcPr>
          <w:p w:rsidR="00D65ACA" w:rsidRDefault="00341184">
            <w:pPr>
              <w:spacing w:after="0" w:line="240" w:lineRule="auto"/>
              <w:jc w:val="right"/>
            </w:pPr>
            <w:r>
              <w:rPr>
                <w:rFonts w:ascii="Calibri" w:hAnsi="Calibri" w:cs="Calibri"/>
                <w:b/>
                <w:sz w:val="18"/>
              </w:rPr>
              <w:t>105,1</w:t>
            </w:r>
          </w:p>
        </w:tc>
      </w:tr>
    </w:tbl>
    <w:p w:rsidR="00D65ACA" w:rsidRDefault="00D65ACA">
      <w:pPr>
        <w:spacing w:after="0" w:line="240" w:lineRule="auto"/>
      </w:pPr>
    </w:p>
    <w:p w:rsidR="00D65ACA" w:rsidRDefault="00341184">
      <w:pPr>
        <w:spacing w:line="240" w:lineRule="auto"/>
        <w:jc w:val="both"/>
      </w:pPr>
      <w:r>
        <w:rPr>
          <w:rFonts w:ascii="Calibri" w:hAnsi="Calibri" w:cs="Calibri"/>
          <w:color w:val="000000"/>
        </w:rPr>
        <w:t xml:space="preserve">Ukupni prihodi u Prijedlogu izmjena i dopuna Financijskog plana za 2025. godinu iznose 196.929.301 </w:t>
      </w:r>
      <w:r w:rsidR="00445316">
        <w:rPr>
          <w:rFonts w:ascii="Calibri" w:hAnsi="Calibri" w:cs="Calibri"/>
          <w:color w:val="000000"/>
        </w:rPr>
        <w:t>EUR</w:t>
      </w:r>
      <w:r>
        <w:rPr>
          <w:rFonts w:ascii="Calibri" w:hAnsi="Calibri" w:cs="Calibri"/>
          <w:color w:val="000000"/>
        </w:rPr>
        <w:t xml:space="preserve"> te su za 9.548.302 </w:t>
      </w:r>
      <w:r w:rsidR="00445316">
        <w:rPr>
          <w:rFonts w:ascii="Calibri" w:hAnsi="Calibri" w:cs="Calibri"/>
          <w:color w:val="000000"/>
        </w:rPr>
        <w:t>EUR</w:t>
      </w:r>
      <w:r>
        <w:rPr>
          <w:rFonts w:ascii="Calibri" w:hAnsi="Calibri" w:cs="Calibri"/>
          <w:color w:val="000000"/>
        </w:rPr>
        <w:t>, odnosno 5,1 % veći u odnosu na usvojeni plan.</w:t>
      </w:r>
    </w:p>
    <w:p w:rsidR="00D65ACA" w:rsidRDefault="00341184">
      <w:pPr>
        <w:spacing w:line="240" w:lineRule="auto"/>
        <w:jc w:val="both"/>
      </w:pPr>
      <w:r>
        <w:rPr>
          <w:rFonts w:ascii="Calibri" w:hAnsi="Calibri" w:cs="Calibri"/>
        </w:rPr>
        <w:t xml:space="preserve">Na stavci Pomoći iz inozemstva i od subjekata unutar općeg proračuna došlo je do povećanja za 12.236.983 </w:t>
      </w:r>
      <w:r w:rsidR="00445316">
        <w:rPr>
          <w:rFonts w:ascii="Calibri" w:hAnsi="Calibri" w:cs="Calibri"/>
        </w:rPr>
        <w:t>EUR</w:t>
      </w:r>
      <w:r>
        <w:rPr>
          <w:rFonts w:ascii="Calibri" w:hAnsi="Calibri" w:cs="Calibri"/>
        </w:rPr>
        <w:t xml:space="preserve"> u odnosu na usvojeni plan.</w:t>
      </w:r>
      <w:r>
        <w:rPr>
          <w:rFonts w:ascii="Calibri" w:hAnsi="Calibri" w:cs="Calibri"/>
          <w:color w:val="FF0000"/>
        </w:rPr>
        <w:t xml:space="preserve"> </w:t>
      </w:r>
      <w:r>
        <w:rPr>
          <w:rFonts w:ascii="Calibri" w:hAnsi="Calibri" w:cs="Calibri"/>
        </w:rPr>
        <w:t xml:space="preserve">Na stavci Pomoći proračunu i izvanproračunskim korisnicima iz drugih proračuna došlo je do povećanja prihoda za 14.900.000 </w:t>
      </w:r>
      <w:r w:rsidR="00445316">
        <w:rPr>
          <w:rFonts w:ascii="Calibri" w:hAnsi="Calibri" w:cs="Calibri"/>
        </w:rPr>
        <w:t>EUR</w:t>
      </w:r>
      <w:r>
        <w:rPr>
          <w:rFonts w:ascii="Calibri" w:hAnsi="Calibri" w:cs="Calibri"/>
        </w:rPr>
        <w:t>, a na povećanje stavke utjecao je izostali vlastiti prihod na temelju provedbe projekata besplatnog željezničkog prijevoza učenika osnovnih i srednjih škola, redovnih studenata te umirovljenika i osoba starijih od 65 godina te besplatnog prijevoza za stanovnike s područja Sisačko-moslavačke županije. Nadalje, uslijed izvođenja radova na cijeloj željezničkoj mreži uvode se zatvori pruga, smanjuju se brzine prometovanja vlakova za prijevoz putnika te se uvode usporene vožnje, česte su supstitucije vlakova autobusima što iziskuje dvostruke prijevozne kapacitete. Također, povećani su troškovi tekućeg održavanja voznog parka uslijed povećanja cijena te povećanja broja vozila koja zbog starosti ulaze u ciklus popravaka najviše razine. Sve navedeno uzrokuje povećanje troškova eksploatacije i do 40% zbog povećanih potreba za vozilima i radom. Prema tome, smanjenje vlastitih prihoda od prijevoza i povećanje troškova utjecalo je na povećanje prihoda po PSO ugovoru.</w:t>
      </w:r>
    </w:p>
    <w:p w:rsidR="00D65ACA" w:rsidRDefault="00341184">
      <w:pPr>
        <w:spacing w:line="240" w:lineRule="auto"/>
        <w:jc w:val="both"/>
      </w:pPr>
      <w:r>
        <w:rPr>
          <w:rFonts w:ascii="Calibri" w:hAnsi="Calibri" w:cs="Calibri"/>
        </w:rPr>
        <w:lastRenderedPageBreak/>
        <w:t xml:space="preserve">Na stavci Pomoći temeljem prijenosa EU sredstava došlo je do smanjenja prihoda za 2.663.017 </w:t>
      </w:r>
      <w:r w:rsidR="00445316">
        <w:rPr>
          <w:rFonts w:ascii="Calibri" w:hAnsi="Calibri" w:cs="Calibri"/>
        </w:rPr>
        <w:t>EUR</w:t>
      </w:r>
      <w:r>
        <w:rPr>
          <w:rFonts w:ascii="Calibri" w:hAnsi="Calibri" w:cs="Calibri"/>
        </w:rPr>
        <w:t xml:space="preserve"> zbog promjena u dinamici realizacije projekta Modernizacija informatičkog i prodajnog sustava te projekta Primjena zelenih tehnologija u željezničkom prijevozu. Prihodi od pruženih usluga planiraju se u iznosu 22.685.000 </w:t>
      </w:r>
      <w:r w:rsidR="00445316">
        <w:rPr>
          <w:rFonts w:ascii="Calibri" w:hAnsi="Calibri" w:cs="Calibri"/>
        </w:rPr>
        <w:t>EUR</w:t>
      </w:r>
      <w:r>
        <w:rPr>
          <w:rFonts w:ascii="Calibri" w:hAnsi="Calibri" w:cs="Calibri"/>
        </w:rPr>
        <w:t xml:space="preserve"> te su manji za 3.136.000 </w:t>
      </w:r>
      <w:r w:rsidR="00445316">
        <w:rPr>
          <w:rFonts w:ascii="Calibri" w:hAnsi="Calibri" w:cs="Calibri"/>
        </w:rPr>
        <w:t>EUR</w:t>
      </w:r>
      <w:r>
        <w:rPr>
          <w:rFonts w:ascii="Calibri" w:hAnsi="Calibri" w:cs="Calibri"/>
        </w:rPr>
        <w:t xml:space="preserve"> u odnosu na usvojeni plan temeljem smanjenja vlastitih prihoda od unutarnjeg i međunarodnog prijevoza putnika, dok se prihodi od prodaje nefinancijske imovine planiraju u iznosu od 162.000 </w:t>
      </w:r>
      <w:r w:rsidR="00445316">
        <w:rPr>
          <w:rFonts w:ascii="Calibri" w:hAnsi="Calibri" w:cs="Calibri"/>
        </w:rPr>
        <w:t>EUR</w:t>
      </w:r>
      <w:r>
        <w:rPr>
          <w:rFonts w:ascii="Calibri" w:hAnsi="Calibri" w:cs="Calibri"/>
        </w:rPr>
        <w:t>.</w:t>
      </w:r>
    </w:p>
    <w:p w:rsidR="00D65ACA" w:rsidRDefault="00341184">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D65ACA">
        <w:tc>
          <w:tcPr>
            <w:tcW w:w="2000" w:type="pct"/>
            <w:shd w:val="clear" w:color="auto" w:fill="BCDFFB"/>
            <w:vAlign w:val="center"/>
          </w:tcPr>
          <w:p w:rsidR="00D65ACA" w:rsidRDefault="00D65ACA">
            <w:pPr>
              <w:spacing w:after="0" w:line="240" w:lineRule="auto"/>
              <w:jc w:val="center"/>
            </w:pP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Plan za 2025.</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D65ACA" w:rsidRDefault="00341184">
            <w:pPr>
              <w:spacing w:after="0" w:line="240" w:lineRule="auto"/>
              <w:jc w:val="center"/>
            </w:pPr>
            <w:r>
              <w:rPr>
                <w:rFonts w:ascii="Calibri" w:hAnsi="Calibri" w:cs="Calibri"/>
                <w:b/>
                <w:sz w:val="18"/>
              </w:rPr>
              <w:t>Indeks</w:t>
            </w:r>
          </w:p>
        </w:tc>
      </w:tr>
      <w:tr w:rsidR="00D65ACA">
        <w:tc>
          <w:tcPr>
            <w:tcW w:w="2000" w:type="pct"/>
            <w:vAlign w:val="bottom"/>
          </w:tcPr>
          <w:p w:rsidR="00D65ACA" w:rsidRDefault="00341184">
            <w:pPr>
              <w:spacing w:after="0" w:line="240" w:lineRule="auto"/>
            </w:pPr>
            <w:r>
              <w:rPr>
                <w:rFonts w:ascii="Calibri" w:hAnsi="Calibri" w:cs="Calibri"/>
                <w:sz w:val="18"/>
              </w:rPr>
              <w:t>RASHODI POSLOVANJA</w:t>
            </w:r>
          </w:p>
        </w:tc>
        <w:tc>
          <w:tcPr>
            <w:tcW w:w="800" w:type="pct"/>
            <w:vAlign w:val="bottom"/>
          </w:tcPr>
          <w:p w:rsidR="00D65ACA" w:rsidRDefault="00341184">
            <w:pPr>
              <w:spacing w:after="0" w:line="240" w:lineRule="auto"/>
              <w:jc w:val="right"/>
            </w:pPr>
            <w:r>
              <w:rPr>
                <w:rFonts w:ascii="Calibri" w:hAnsi="Calibri" w:cs="Calibri"/>
                <w:sz w:val="18"/>
              </w:rPr>
              <w:t>131.248.015</w:t>
            </w:r>
          </w:p>
        </w:tc>
        <w:tc>
          <w:tcPr>
            <w:tcW w:w="800" w:type="pct"/>
            <w:vAlign w:val="bottom"/>
          </w:tcPr>
          <w:p w:rsidR="00D65ACA" w:rsidRDefault="00341184">
            <w:pPr>
              <w:spacing w:after="0" w:line="240" w:lineRule="auto"/>
              <w:jc w:val="right"/>
            </w:pPr>
            <w:r>
              <w:rPr>
                <w:rFonts w:ascii="Calibri" w:hAnsi="Calibri" w:cs="Calibri"/>
                <w:sz w:val="18"/>
              </w:rPr>
              <w:t>9.782.898</w:t>
            </w:r>
          </w:p>
        </w:tc>
        <w:tc>
          <w:tcPr>
            <w:tcW w:w="800" w:type="pct"/>
            <w:vAlign w:val="bottom"/>
          </w:tcPr>
          <w:p w:rsidR="00D65ACA" w:rsidRDefault="00341184">
            <w:pPr>
              <w:spacing w:after="0" w:line="240" w:lineRule="auto"/>
              <w:jc w:val="right"/>
            </w:pPr>
            <w:r>
              <w:rPr>
                <w:rFonts w:ascii="Calibri" w:hAnsi="Calibri" w:cs="Calibri"/>
                <w:sz w:val="18"/>
              </w:rPr>
              <w:t>141.030.913</w:t>
            </w:r>
          </w:p>
        </w:tc>
        <w:tc>
          <w:tcPr>
            <w:tcW w:w="400" w:type="pct"/>
            <w:vAlign w:val="bottom"/>
          </w:tcPr>
          <w:p w:rsidR="00D65ACA" w:rsidRDefault="00341184">
            <w:pPr>
              <w:spacing w:after="0" w:line="240" w:lineRule="auto"/>
              <w:jc w:val="right"/>
            </w:pPr>
            <w:r>
              <w:rPr>
                <w:rFonts w:ascii="Calibri" w:hAnsi="Calibri" w:cs="Calibri"/>
                <w:sz w:val="18"/>
              </w:rPr>
              <w:t>107,5</w:t>
            </w:r>
          </w:p>
        </w:tc>
      </w:tr>
      <w:tr w:rsidR="00D65ACA">
        <w:tc>
          <w:tcPr>
            <w:tcW w:w="2000" w:type="pct"/>
            <w:vAlign w:val="bottom"/>
          </w:tcPr>
          <w:p w:rsidR="00D65ACA" w:rsidRDefault="00341184">
            <w:pPr>
              <w:spacing w:after="0" w:line="240" w:lineRule="auto"/>
            </w:pPr>
            <w:r>
              <w:rPr>
                <w:rFonts w:ascii="Calibri" w:hAnsi="Calibri" w:cs="Calibri"/>
                <w:sz w:val="18"/>
              </w:rPr>
              <w:t>RASHODI ZA NABAVU NEFINANCIJSKE IMOVINE</w:t>
            </w:r>
          </w:p>
        </w:tc>
        <w:tc>
          <w:tcPr>
            <w:tcW w:w="800" w:type="pct"/>
            <w:vAlign w:val="bottom"/>
          </w:tcPr>
          <w:p w:rsidR="00D65ACA" w:rsidRDefault="00341184">
            <w:pPr>
              <w:spacing w:after="0" w:line="240" w:lineRule="auto"/>
              <w:jc w:val="right"/>
            </w:pPr>
            <w:r>
              <w:rPr>
                <w:rFonts w:ascii="Calibri" w:hAnsi="Calibri" w:cs="Calibri"/>
                <w:sz w:val="18"/>
              </w:rPr>
              <w:t>76.273.328</w:t>
            </w:r>
          </w:p>
        </w:tc>
        <w:tc>
          <w:tcPr>
            <w:tcW w:w="800" w:type="pct"/>
            <w:vAlign w:val="bottom"/>
          </w:tcPr>
          <w:p w:rsidR="00D65ACA" w:rsidRDefault="00341184">
            <w:pPr>
              <w:spacing w:after="0" w:line="240" w:lineRule="auto"/>
              <w:jc w:val="right"/>
            </w:pPr>
            <w:r>
              <w:rPr>
                <w:rFonts w:ascii="Calibri" w:hAnsi="Calibri" w:cs="Calibri"/>
                <w:sz w:val="18"/>
              </w:rPr>
              <w:t>-2.599.771</w:t>
            </w:r>
          </w:p>
        </w:tc>
        <w:tc>
          <w:tcPr>
            <w:tcW w:w="800" w:type="pct"/>
            <w:vAlign w:val="bottom"/>
          </w:tcPr>
          <w:p w:rsidR="00D65ACA" w:rsidRDefault="00341184">
            <w:pPr>
              <w:spacing w:after="0" w:line="240" w:lineRule="auto"/>
              <w:jc w:val="right"/>
            </w:pPr>
            <w:r>
              <w:rPr>
                <w:rFonts w:ascii="Calibri" w:hAnsi="Calibri" w:cs="Calibri"/>
                <w:sz w:val="18"/>
              </w:rPr>
              <w:t>73.673.557</w:t>
            </w:r>
          </w:p>
        </w:tc>
        <w:tc>
          <w:tcPr>
            <w:tcW w:w="400" w:type="pct"/>
            <w:vAlign w:val="bottom"/>
          </w:tcPr>
          <w:p w:rsidR="00D65ACA" w:rsidRDefault="00341184">
            <w:pPr>
              <w:spacing w:after="0" w:line="240" w:lineRule="auto"/>
              <w:jc w:val="right"/>
            </w:pPr>
            <w:r>
              <w:rPr>
                <w:rFonts w:ascii="Calibri" w:hAnsi="Calibri" w:cs="Calibri"/>
                <w:sz w:val="18"/>
              </w:rPr>
              <w:t>96,6</w:t>
            </w:r>
          </w:p>
        </w:tc>
      </w:tr>
      <w:tr w:rsidR="00D65ACA">
        <w:tc>
          <w:tcPr>
            <w:tcW w:w="2000" w:type="pct"/>
            <w:vAlign w:val="bottom"/>
          </w:tcPr>
          <w:p w:rsidR="00D65ACA" w:rsidRDefault="00341184">
            <w:pPr>
              <w:spacing w:after="0" w:line="240" w:lineRule="auto"/>
            </w:pPr>
            <w:r>
              <w:rPr>
                <w:rFonts w:ascii="Calibri" w:hAnsi="Calibri" w:cs="Calibri"/>
                <w:b/>
                <w:sz w:val="18"/>
              </w:rPr>
              <w:t>UKUPNI RASHODI</w:t>
            </w:r>
          </w:p>
        </w:tc>
        <w:tc>
          <w:tcPr>
            <w:tcW w:w="800" w:type="pct"/>
            <w:vAlign w:val="bottom"/>
          </w:tcPr>
          <w:p w:rsidR="00D65ACA" w:rsidRDefault="00341184">
            <w:pPr>
              <w:spacing w:after="0" w:line="240" w:lineRule="auto"/>
              <w:jc w:val="right"/>
            </w:pPr>
            <w:r>
              <w:rPr>
                <w:rFonts w:ascii="Calibri" w:hAnsi="Calibri" w:cs="Calibri"/>
                <w:b/>
                <w:sz w:val="18"/>
              </w:rPr>
              <w:t>207.521.343</w:t>
            </w:r>
          </w:p>
        </w:tc>
        <w:tc>
          <w:tcPr>
            <w:tcW w:w="800" w:type="pct"/>
            <w:vAlign w:val="bottom"/>
          </w:tcPr>
          <w:p w:rsidR="00D65ACA" w:rsidRDefault="00341184">
            <w:pPr>
              <w:spacing w:after="0" w:line="240" w:lineRule="auto"/>
              <w:jc w:val="right"/>
            </w:pPr>
            <w:r>
              <w:rPr>
                <w:rFonts w:ascii="Calibri" w:hAnsi="Calibri" w:cs="Calibri"/>
                <w:b/>
                <w:sz w:val="18"/>
              </w:rPr>
              <w:t>7.183.127</w:t>
            </w:r>
          </w:p>
        </w:tc>
        <w:tc>
          <w:tcPr>
            <w:tcW w:w="800" w:type="pct"/>
            <w:vAlign w:val="bottom"/>
          </w:tcPr>
          <w:p w:rsidR="00D65ACA" w:rsidRDefault="00341184">
            <w:pPr>
              <w:spacing w:after="0" w:line="240" w:lineRule="auto"/>
              <w:jc w:val="right"/>
            </w:pPr>
            <w:r>
              <w:rPr>
                <w:rFonts w:ascii="Calibri" w:hAnsi="Calibri" w:cs="Calibri"/>
                <w:b/>
                <w:sz w:val="18"/>
              </w:rPr>
              <w:t>214.704.470</w:t>
            </w:r>
          </w:p>
        </w:tc>
        <w:tc>
          <w:tcPr>
            <w:tcW w:w="400" w:type="pct"/>
            <w:vAlign w:val="bottom"/>
          </w:tcPr>
          <w:p w:rsidR="00D65ACA" w:rsidRDefault="00341184">
            <w:pPr>
              <w:spacing w:after="0" w:line="240" w:lineRule="auto"/>
              <w:jc w:val="right"/>
            </w:pPr>
            <w:r>
              <w:rPr>
                <w:rFonts w:ascii="Calibri" w:hAnsi="Calibri" w:cs="Calibri"/>
                <w:b/>
                <w:sz w:val="18"/>
              </w:rPr>
              <w:t>103,5</w:t>
            </w:r>
          </w:p>
        </w:tc>
      </w:tr>
    </w:tbl>
    <w:p w:rsidR="00D65ACA" w:rsidRDefault="00D65ACA">
      <w:pPr>
        <w:spacing w:after="0" w:line="240" w:lineRule="auto"/>
      </w:pPr>
    </w:p>
    <w:p w:rsidR="00D65ACA" w:rsidRDefault="00341184">
      <w:pPr>
        <w:spacing w:line="240" w:lineRule="auto"/>
        <w:jc w:val="both"/>
      </w:pPr>
      <w:r>
        <w:rPr>
          <w:rFonts w:ascii="Calibri" w:hAnsi="Calibri" w:cs="Calibri"/>
          <w:color w:val="000000"/>
        </w:rPr>
        <w:t>Ukupni rashodi</w:t>
      </w:r>
      <w:r>
        <w:rPr>
          <w:rFonts w:ascii="Calibri" w:hAnsi="Calibri" w:cs="Calibri"/>
          <w:b/>
          <w:color w:val="000000"/>
        </w:rPr>
        <w:t xml:space="preserve"> </w:t>
      </w:r>
      <w:r>
        <w:rPr>
          <w:rFonts w:ascii="Calibri" w:hAnsi="Calibri" w:cs="Calibri"/>
          <w:color w:val="000000"/>
        </w:rPr>
        <w:t xml:space="preserve">u Prijedlogu izmjena i dopuna Financijskog plana za 2025. godinu iznose 214.704.470 </w:t>
      </w:r>
      <w:r w:rsidR="00445316">
        <w:rPr>
          <w:rFonts w:ascii="Calibri" w:hAnsi="Calibri" w:cs="Calibri"/>
          <w:color w:val="000000"/>
        </w:rPr>
        <w:t>EUR</w:t>
      </w:r>
      <w:r>
        <w:rPr>
          <w:rFonts w:ascii="Calibri" w:hAnsi="Calibri" w:cs="Calibri"/>
          <w:color w:val="000000"/>
        </w:rPr>
        <w:t xml:space="preserve"> te su za 7.183.127 </w:t>
      </w:r>
      <w:r w:rsidR="00445316">
        <w:rPr>
          <w:rFonts w:ascii="Calibri" w:hAnsi="Calibri" w:cs="Calibri"/>
          <w:color w:val="000000"/>
        </w:rPr>
        <w:t>EUR</w:t>
      </w:r>
      <w:r>
        <w:rPr>
          <w:rFonts w:ascii="Calibri" w:hAnsi="Calibri" w:cs="Calibri"/>
          <w:color w:val="000000"/>
        </w:rPr>
        <w:t>, odnosno 3,5 % veći u odnosu na usvojeni plan.</w:t>
      </w:r>
    </w:p>
    <w:p w:rsidR="00D65ACA" w:rsidRDefault="00341184">
      <w:pPr>
        <w:spacing w:line="240" w:lineRule="auto"/>
        <w:jc w:val="both"/>
      </w:pPr>
      <w:r>
        <w:rPr>
          <w:rFonts w:ascii="Calibri" w:hAnsi="Calibri" w:cs="Calibri"/>
          <w:color w:val="000000"/>
        </w:rPr>
        <w:t xml:space="preserve">Planirani rashodi za zaposlene veći su za 2.642.488 </w:t>
      </w:r>
      <w:r w:rsidR="00445316">
        <w:rPr>
          <w:rFonts w:ascii="Calibri" w:hAnsi="Calibri" w:cs="Calibri"/>
          <w:color w:val="000000"/>
        </w:rPr>
        <w:t>EUR</w:t>
      </w:r>
      <w:r>
        <w:rPr>
          <w:rFonts w:ascii="Calibri" w:hAnsi="Calibri" w:cs="Calibri"/>
          <w:color w:val="000000"/>
        </w:rPr>
        <w:t xml:space="preserve"> u odnosu na usvojeni plan, odnosno za 4,8 %, što je rezultat sklapanja novog kolektivnog ugovora te povećanja cijene sata rada kao i povećanja broja prekovremenih sati temeljem duljih smjena rada uzrokovanih zatvorima pruga, zastojima u </w:t>
      </w:r>
      <w:r>
        <w:rPr>
          <w:rFonts w:ascii="Calibri" w:hAnsi="Calibri" w:cs="Calibri"/>
        </w:rPr>
        <w:t>prometu i uvođenjem usporenih vožnji.</w:t>
      </w:r>
    </w:p>
    <w:p w:rsidR="00D65ACA" w:rsidRDefault="00341184">
      <w:pPr>
        <w:spacing w:line="240" w:lineRule="auto"/>
        <w:jc w:val="both"/>
      </w:pPr>
      <w:r>
        <w:rPr>
          <w:rFonts w:ascii="Calibri" w:hAnsi="Calibri" w:cs="Calibri"/>
        </w:rPr>
        <w:t xml:space="preserve">Materijalni rashodi veći su za 8.427.410 </w:t>
      </w:r>
      <w:r w:rsidR="00445316">
        <w:rPr>
          <w:rFonts w:ascii="Calibri" w:hAnsi="Calibri" w:cs="Calibri"/>
        </w:rPr>
        <w:t>EUR</w:t>
      </w:r>
      <w:r>
        <w:rPr>
          <w:rFonts w:ascii="Calibri" w:hAnsi="Calibri" w:cs="Calibri"/>
        </w:rPr>
        <w:t>, odnosno za 11,8 % u odnosu na usvojeni plan temeljem povećanja troškova energije, troškova tekućeg i investicijskog održavanja te ostalih usluga.</w:t>
      </w:r>
    </w:p>
    <w:p w:rsidR="00D65ACA" w:rsidRDefault="00341184">
      <w:pPr>
        <w:spacing w:line="240" w:lineRule="auto"/>
        <w:jc w:val="both"/>
      </w:pPr>
      <w:r>
        <w:rPr>
          <w:rFonts w:ascii="Calibri" w:hAnsi="Calibri" w:cs="Calibri"/>
          <w:color w:val="000000"/>
        </w:rPr>
        <w:t xml:space="preserve">Financijski rashodi iznose 2.597.000 </w:t>
      </w:r>
      <w:r w:rsidR="00445316">
        <w:rPr>
          <w:rFonts w:ascii="Calibri" w:hAnsi="Calibri" w:cs="Calibri"/>
          <w:color w:val="000000"/>
        </w:rPr>
        <w:t>EUR</w:t>
      </w:r>
      <w:r>
        <w:rPr>
          <w:rFonts w:ascii="Calibri" w:hAnsi="Calibri" w:cs="Calibri"/>
          <w:color w:val="000000"/>
        </w:rPr>
        <w:t xml:space="preserve"> te su za 1.287.000 </w:t>
      </w:r>
      <w:r w:rsidR="00445316">
        <w:rPr>
          <w:rFonts w:ascii="Calibri" w:hAnsi="Calibri" w:cs="Calibri"/>
          <w:color w:val="000000"/>
        </w:rPr>
        <w:t>EUR</w:t>
      </w:r>
      <w:r>
        <w:rPr>
          <w:rFonts w:ascii="Calibri" w:hAnsi="Calibri" w:cs="Calibri"/>
          <w:color w:val="000000"/>
        </w:rPr>
        <w:t xml:space="preserve"> manji u odnosu na usvojeni plan.</w:t>
      </w:r>
    </w:p>
    <w:p w:rsidR="00D65ACA" w:rsidRDefault="00341184">
      <w:pPr>
        <w:spacing w:line="240" w:lineRule="auto"/>
        <w:jc w:val="both"/>
      </w:pPr>
      <w:r>
        <w:rPr>
          <w:rFonts w:ascii="Calibri" w:hAnsi="Calibri" w:cs="Calibri"/>
        </w:rPr>
        <w:t xml:space="preserve">Rashodi za nabavu nefinancijske imovine iznose 73.673.557 </w:t>
      </w:r>
      <w:r w:rsidR="00445316">
        <w:rPr>
          <w:rFonts w:ascii="Calibri" w:hAnsi="Calibri" w:cs="Calibri"/>
        </w:rPr>
        <w:t>EUR</w:t>
      </w:r>
      <w:r>
        <w:rPr>
          <w:rFonts w:ascii="Calibri" w:hAnsi="Calibri" w:cs="Calibri"/>
        </w:rPr>
        <w:t xml:space="preserve"> te su manji za 2.599.771 </w:t>
      </w:r>
      <w:r w:rsidR="00445316">
        <w:rPr>
          <w:rFonts w:ascii="Calibri" w:hAnsi="Calibri" w:cs="Calibri"/>
        </w:rPr>
        <w:t>EUR</w:t>
      </w:r>
      <w:r>
        <w:rPr>
          <w:rFonts w:ascii="Calibri" w:hAnsi="Calibri" w:cs="Calibri"/>
        </w:rPr>
        <w:t xml:space="preserve"> u odnosu na usvojeni plan ponajviše zbog promjena u dinamici realizacije projekta obnove 8 elektrolokomotiva (plaćanje avansa prolongira se u 2026.) te promjena u dinamici realizacije ulaganja u objekte za održavanje.</w:t>
      </w:r>
    </w:p>
    <w:p w:rsidR="00D65ACA" w:rsidRDefault="00341184">
      <w:pPr>
        <w:spacing w:line="240" w:lineRule="auto"/>
        <w:jc w:val="both"/>
      </w:pPr>
      <w:r>
        <w:rPr>
          <w:rFonts w:ascii="Calibri" w:hAnsi="Calibri" w:cs="Calibri"/>
        </w:rPr>
        <w:t>Prema strukturi čine ih:</w:t>
      </w:r>
    </w:p>
    <w:p w:rsidR="00D65ACA" w:rsidRDefault="00341184">
      <w:pPr>
        <w:spacing w:line="240" w:lineRule="auto"/>
        <w:ind w:left="1080" w:hanging="360"/>
        <w:jc w:val="both"/>
      </w:pPr>
      <w:r>
        <w:rPr>
          <w:rFonts w:ascii="Calibri" w:hAnsi="Calibri" w:cs="Calibri"/>
          <w:color w:val="000000"/>
        </w:rPr>
        <w:t xml:space="preserve">-    rashodi za nabavu proizvedene dugotrajne imovine u iznosu od 71.732.949 </w:t>
      </w:r>
      <w:r w:rsidR="00445316">
        <w:rPr>
          <w:rFonts w:ascii="Calibri" w:hAnsi="Calibri" w:cs="Calibri"/>
          <w:color w:val="000000"/>
        </w:rPr>
        <w:t>EUR</w:t>
      </w:r>
      <w:r>
        <w:rPr>
          <w:rFonts w:ascii="Calibri" w:hAnsi="Calibri" w:cs="Calibri"/>
          <w:color w:val="000000"/>
        </w:rPr>
        <w:t xml:space="preserve"> koji se odnose na prijevozna sredstva u iznosu od 68.660.023 </w:t>
      </w:r>
      <w:r w:rsidR="00445316">
        <w:rPr>
          <w:rFonts w:ascii="Calibri" w:hAnsi="Calibri" w:cs="Calibri"/>
          <w:color w:val="000000"/>
        </w:rPr>
        <w:t>EUR</w:t>
      </w:r>
      <w:r>
        <w:rPr>
          <w:rFonts w:ascii="Calibri" w:hAnsi="Calibri" w:cs="Calibri"/>
          <w:color w:val="000000"/>
        </w:rPr>
        <w:t xml:space="preserve"> i nematerijalnu proizvedenu imovinu, odnosno ulaganja u računalne programe </w:t>
      </w:r>
      <w:r>
        <w:rPr>
          <w:rFonts w:ascii="Calibri" w:hAnsi="Calibri" w:cs="Calibri"/>
        </w:rPr>
        <w:t> </w:t>
      </w:r>
      <w:r>
        <w:rPr>
          <w:rFonts w:ascii="Calibri" w:hAnsi="Calibri" w:cs="Calibri"/>
          <w:color w:val="000000"/>
        </w:rPr>
        <w:t xml:space="preserve">u iznosu od 3.072.926 </w:t>
      </w:r>
      <w:r w:rsidR="00445316">
        <w:rPr>
          <w:rFonts w:ascii="Calibri" w:hAnsi="Calibri" w:cs="Calibri"/>
          <w:color w:val="000000"/>
        </w:rPr>
        <w:t>EUR</w:t>
      </w:r>
      <w:r>
        <w:rPr>
          <w:rFonts w:ascii="Calibri" w:hAnsi="Calibri" w:cs="Calibri"/>
          <w:color w:val="000000"/>
        </w:rPr>
        <w:t>.</w:t>
      </w:r>
    </w:p>
    <w:p w:rsidR="00D65ACA" w:rsidRDefault="00341184">
      <w:pPr>
        <w:spacing w:line="240" w:lineRule="auto"/>
        <w:ind w:left="1080" w:hanging="360"/>
        <w:jc w:val="both"/>
      </w:pPr>
      <w:r>
        <w:rPr>
          <w:rFonts w:ascii="Calibri" w:hAnsi="Calibri" w:cs="Calibri"/>
          <w:color w:val="000000"/>
        </w:rPr>
        <w:t xml:space="preserve">-      rashodi za dodatna ulaganja na nefinancijskoj imovini u iznosu od 1.940.608 </w:t>
      </w:r>
      <w:r w:rsidR="00445316">
        <w:rPr>
          <w:rFonts w:ascii="Calibri" w:hAnsi="Calibri" w:cs="Calibri"/>
          <w:color w:val="000000"/>
        </w:rPr>
        <w:t>EUR</w:t>
      </w:r>
      <w:r>
        <w:rPr>
          <w:rFonts w:ascii="Calibri" w:hAnsi="Calibri" w:cs="Calibri"/>
          <w:color w:val="000000"/>
        </w:rPr>
        <w:t>, a odnose se na ulaganja u prijevozna sredstva, građevinske objekte te ostalu nefinancijsku imovinu.</w:t>
      </w:r>
    </w:p>
    <w:p w:rsidR="00D65ACA" w:rsidRDefault="00341184">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D65ACA">
        <w:tc>
          <w:tcPr>
            <w:tcW w:w="2000" w:type="pct"/>
            <w:shd w:val="clear" w:color="auto" w:fill="BCDFFB"/>
            <w:vAlign w:val="center"/>
          </w:tcPr>
          <w:p w:rsidR="00D65ACA" w:rsidRDefault="00D65ACA">
            <w:pPr>
              <w:spacing w:after="0" w:line="240" w:lineRule="auto"/>
              <w:jc w:val="center"/>
            </w:pP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Plan za 2025.</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D65ACA" w:rsidRDefault="00341184">
            <w:pPr>
              <w:spacing w:after="0" w:line="240" w:lineRule="auto"/>
              <w:jc w:val="center"/>
            </w:pPr>
            <w:r>
              <w:rPr>
                <w:rFonts w:ascii="Calibri" w:hAnsi="Calibri" w:cs="Calibri"/>
                <w:b/>
                <w:sz w:val="18"/>
              </w:rPr>
              <w:t>Indeks</w:t>
            </w:r>
          </w:p>
        </w:tc>
      </w:tr>
      <w:tr w:rsidR="00D65ACA">
        <w:tc>
          <w:tcPr>
            <w:tcW w:w="2000" w:type="pct"/>
            <w:vAlign w:val="bottom"/>
          </w:tcPr>
          <w:p w:rsidR="00D65ACA" w:rsidRDefault="00341184">
            <w:pPr>
              <w:spacing w:after="0" w:line="240" w:lineRule="auto"/>
            </w:pPr>
            <w:r>
              <w:rPr>
                <w:rFonts w:ascii="Calibri" w:hAnsi="Calibri" w:cs="Calibri"/>
                <w:sz w:val="18"/>
              </w:rPr>
              <w:t>UKUPNI PRIHODI</w:t>
            </w:r>
          </w:p>
        </w:tc>
        <w:tc>
          <w:tcPr>
            <w:tcW w:w="800" w:type="pct"/>
            <w:vAlign w:val="bottom"/>
          </w:tcPr>
          <w:p w:rsidR="00D65ACA" w:rsidRDefault="00341184">
            <w:pPr>
              <w:spacing w:after="0" w:line="240" w:lineRule="auto"/>
              <w:jc w:val="right"/>
            </w:pPr>
            <w:r>
              <w:rPr>
                <w:rFonts w:ascii="Calibri" w:hAnsi="Calibri" w:cs="Calibri"/>
                <w:sz w:val="18"/>
              </w:rPr>
              <w:t>187.380.999</w:t>
            </w:r>
          </w:p>
        </w:tc>
        <w:tc>
          <w:tcPr>
            <w:tcW w:w="800" w:type="pct"/>
            <w:vAlign w:val="bottom"/>
          </w:tcPr>
          <w:p w:rsidR="00D65ACA" w:rsidRDefault="00341184">
            <w:pPr>
              <w:spacing w:after="0" w:line="240" w:lineRule="auto"/>
              <w:jc w:val="right"/>
            </w:pPr>
            <w:r>
              <w:rPr>
                <w:rFonts w:ascii="Calibri" w:hAnsi="Calibri" w:cs="Calibri"/>
                <w:sz w:val="18"/>
              </w:rPr>
              <w:t>9.548.302</w:t>
            </w:r>
          </w:p>
        </w:tc>
        <w:tc>
          <w:tcPr>
            <w:tcW w:w="800" w:type="pct"/>
            <w:vAlign w:val="bottom"/>
          </w:tcPr>
          <w:p w:rsidR="00D65ACA" w:rsidRDefault="00341184">
            <w:pPr>
              <w:spacing w:after="0" w:line="240" w:lineRule="auto"/>
              <w:jc w:val="right"/>
            </w:pPr>
            <w:r>
              <w:rPr>
                <w:rFonts w:ascii="Calibri" w:hAnsi="Calibri" w:cs="Calibri"/>
                <w:sz w:val="18"/>
              </w:rPr>
              <w:t>196.929.301</w:t>
            </w:r>
          </w:p>
        </w:tc>
        <w:tc>
          <w:tcPr>
            <w:tcW w:w="400" w:type="pct"/>
            <w:vAlign w:val="bottom"/>
          </w:tcPr>
          <w:p w:rsidR="00D65ACA" w:rsidRDefault="00341184">
            <w:pPr>
              <w:spacing w:after="0" w:line="240" w:lineRule="auto"/>
              <w:jc w:val="right"/>
            </w:pPr>
            <w:r>
              <w:rPr>
                <w:rFonts w:ascii="Calibri" w:hAnsi="Calibri" w:cs="Calibri"/>
                <w:sz w:val="18"/>
              </w:rPr>
              <w:t>105,1</w:t>
            </w:r>
          </w:p>
        </w:tc>
      </w:tr>
      <w:tr w:rsidR="00D65ACA">
        <w:tc>
          <w:tcPr>
            <w:tcW w:w="2000" w:type="pct"/>
            <w:vAlign w:val="bottom"/>
          </w:tcPr>
          <w:p w:rsidR="00D65ACA" w:rsidRDefault="00341184">
            <w:pPr>
              <w:spacing w:after="0" w:line="240" w:lineRule="auto"/>
            </w:pPr>
            <w:r>
              <w:rPr>
                <w:rFonts w:ascii="Calibri" w:hAnsi="Calibri" w:cs="Calibri"/>
                <w:sz w:val="18"/>
              </w:rPr>
              <w:t>UKUPNI RASHODI</w:t>
            </w:r>
          </w:p>
        </w:tc>
        <w:tc>
          <w:tcPr>
            <w:tcW w:w="800" w:type="pct"/>
            <w:vAlign w:val="bottom"/>
          </w:tcPr>
          <w:p w:rsidR="00D65ACA" w:rsidRDefault="00341184">
            <w:pPr>
              <w:spacing w:after="0" w:line="240" w:lineRule="auto"/>
              <w:jc w:val="right"/>
            </w:pPr>
            <w:r>
              <w:rPr>
                <w:rFonts w:ascii="Calibri" w:hAnsi="Calibri" w:cs="Calibri"/>
                <w:sz w:val="18"/>
              </w:rPr>
              <w:t>207.521.343</w:t>
            </w:r>
          </w:p>
        </w:tc>
        <w:tc>
          <w:tcPr>
            <w:tcW w:w="800" w:type="pct"/>
            <w:vAlign w:val="bottom"/>
          </w:tcPr>
          <w:p w:rsidR="00D65ACA" w:rsidRDefault="00341184">
            <w:pPr>
              <w:spacing w:after="0" w:line="240" w:lineRule="auto"/>
              <w:jc w:val="right"/>
            </w:pPr>
            <w:r>
              <w:rPr>
                <w:rFonts w:ascii="Calibri" w:hAnsi="Calibri" w:cs="Calibri"/>
                <w:sz w:val="18"/>
              </w:rPr>
              <w:t>7.183.127</w:t>
            </w:r>
          </w:p>
        </w:tc>
        <w:tc>
          <w:tcPr>
            <w:tcW w:w="800" w:type="pct"/>
            <w:vAlign w:val="bottom"/>
          </w:tcPr>
          <w:p w:rsidR="00D65ACA" w:rsidRDefault="00341184">
            <w:pPr>
              <w:spacing w:after="0" w:line="240" w:lineRule="auto"/>
              <w:jc w:val="right"/>
            </w:pPr>
            <w:r>
              <w:rPr>
                <w:rFonts w:ascii="Calibri" w:hAnsi="Calibri" w:cs="Calibri"/>
                <w:sz w:val="18"/>
              </w:rPr>
              <w:t>214.704.470</w:t>
            </w:r>
          </w:p>
        </w:tc>
        <w:tc>
          <w:tcPr>
            <w:tcW w:w="400" w:type="pct"/>
            <w:vAlign w:val="bottom"/>
          </w:tcPr>
          <w:p w:rsidR="00D65ACA" w:rsidRDefault="00341184">
            <w:pPr>
              <w:spacing w:after="0" w:line="240" w:lineRule="auto"/>
              <w:jc w:val="right"/>
            </w:pPr>
            <w:r>
              <w:rPr>
                <w:rFonts w:ascii="Calibri" w:hAnsi="Calibri" w:cs="Calibri"/>
                <w:sz w:val="18"/>
              </w:rPr>
              <w:t>103,5</w:t>
            </w:r>
          </w:p>
        </w:tc>
      </w:tr>
      <w:tr w:rsidR="00D65ACA">
        <w:tc>
          <w:tcPr>
            <w:tcW w:w="2000" w:type="pct"/>
            <w:vAlign w:val="bottom"/>
          </w:tcPr>
          <w:p w:rsidR="00D65ACA" w:rsidRDefault="00341184">
            <w:pPr>
              <w:spacing w:after="0" w:line="240" w:lineRule="auto"/>
            </w:pPr>
            <w:r>
              <w:rPr>
                <w:rFonts w:ascii="Calibri" w:hAnsi="Calibri" w:cs="Calibri"/>
                <w:b/>
                <w:sz w:val="18"/>
              </w:rPr>
              <w:t>RAZLIKA - VIŠAK/MANJAK</w:t>
            </w:r>
          </w:p>
        </w:tc>
        <w:tc>
          <w:tcPr>
            <w:tcW w:w="800" w:type="pct"/>
            <w:vAlign w:val="bottom"/>
          </w:tcPr>
          <w:p w:rsidR="00D65ACA" w:rsidRDefault="00341184">
            <w:pPr>
              <w:spacing w:after="0" w:line="240" w:lineRule="auto"/>
              <w:jc w:val="right"/>
            </w:pPr>
            <w:r>
              <w:rPr>
                <w:rFonts w:ascii="Calibri" w:hAnsi="Calibri" w:cs="Calibri"/>
                <w:b/>
                <w:sz w:val="18"/>
              </w:rPr>
              <w:t>-20.140.344</w:t>
            </w:r>
          </w:p>
        </w:tc>
        <w:tc>
          <w:tcPr>
            <w:tcW w:w="800" w:type="pct"/>
            <w:vAlign w:val="bottom"/>
          </w:tcPr>
          <w:p w:rsidR="00D65ACA" w:rsidRDefault="00341184">
            <w:pPr>
              <w:spacing w:after="0" w:line="240" w:lineRule="auto"/>
              <w:jc w:val="right"/>
            </w:pPr>
            <w:r>
              <w:rPr>
                <w:rFonts w:ascii="Calibri" w:hAnsi="Calibri" w:cs="Calibri"/>
                <w:b/>
                <w:sz w:val="18"/>
              </w:rPr>
              <w:t>2.365.175</w:t>
            </w:r>
          </w:p>
        </w:tc>
        <w:tc>
          <w:tcPr>
            <w:tcW w:w="800" w:type="pct"/>
            <w:vAlign w:val="bottom"/>
          </w:tcPr>
          <w:p w:rsidR="00D65ACA" w:rsidRDefault="00341184">
            <w:pPr>
              <w:spacing w:after="0" w:line="240" w:lineRule="auto"/>
              <w:jc w:val="right"/>
            </w:pPr>
            <w:r>
              <w:rPr>
                <w:rFonts w:ascii="Calibri" w:hAnsi="Calibri" w:cs="Calibri"/>
                <w:b/>
                <w:sz w:val="18"/>
              </w:rPr>
              <w:t>-17.775.169</w:t>
            </w:r>
          </w:p>
        </w:tc>
        <w:tc>
          <w:tcPr>
            <w:tcW w:w="400" w:type="pct"/>
            <w:vAlign w:val="bottom"/>
          </w:tcPr>
          <w:p w:rsidR="00D65ACA" w:rsidRDefault="00341184">
            <w:pPr>
              <w:spacing w:after="0" w:line="240" w:lineRule="auto"/>
              <w:jc w:val="right"/>
            </w:pPr>
            <w:r>
              <w:rPr>
                <w:rFonts w:ascii="Calibri" w:hAnsi="Calibri" w:cs="Calibri"/>
                <w:b/>
                <w:sz w:val="18"/>
              </w:rPr>
              <w:t>88,3</w:t>
            </w:r>
          </w:p>
        </w:tc>
      </w:tr>
    </w:tbl>
    <w:p w:rsidR="00D65ACA" w:rsidRDefault="00D65ACA">
      <w:pPr>
        <w:spacing w:after="0" w:line="240" w:lineRule="auto"/>
      </w:pPr>
    </w:p>
    <w:p w:rsidR="00D65ACA" w:rsidRDefault="00341184">
      <w:pPr>
        <w:spacing w:line="240" w:lineRule="auto"/>
        <w:jc w:val="both"/>
      </w:pPr>
      <w:r>
        <w:rPr>
          <w:rFonts w:ascii="Calibri" w:hAnsi="Calibri" w:cs="Calibri"/>
          <w:color w:val="000000"/>
        </w:rPr>
        <w:t>Prijedlog izmjena i dopuna Financijskog plana HŽ Putničkog prijevoza za 2025. rezultira manjkom prihoda u odnosu na rashode u iznosu od 17.775.169 eura.</w:t>
      </w:r>
    </w:p>
    <w:p w:rsidR="00D65ACA" w:rsidRDefault="00341184">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2"/>
        <w:gridCol w:w="1634"/>
        <w:gridCol w:w="1634"/>
        <w:gridCol w:w="1634"/>
        <w:gridCol w:w="838"/>
      </w:tblGrid>
      <w:tr w:rsidR="00D65ACA">
        <w:tc>
          <w:tcPr>
            <w:tcW w:w="2000" w:type="pct"/>
            <w:shd w:val="clear" w:color="auto" w:fill="BCDFFB"/>
            <w:vAlign w:val="center"/>
          </w:tcPr>
          <w:p w:rsidR="00D65ACA" w:rsidRDefault="00D65ACA">
            <w:pPr>
              <w:spacing w:after="0" w:line="240" w:lineRule="auto"/>
              <w:jc w:val="center"/>
            </w:pP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Plan za 2025.</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65ACA" w:rsidRDefault="00341184">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D65ACA" w:rsidRDefault="00341184">
            <w:pPr>
              <w:spacing w:after="0" w:line="240" w:lineRule="auto"/>
              <w:jc w:val="center"/>
            </w:pPr>
            <w:r>
              <w:rPr>
                <w:rFonts w:ascii="Calibri" w:hAnsi="Calibri" w:cs="Calibri"/>
                <w:b/>
                <w:sz w:val="18"/>
              </w:rPr>
              <w:t>Indeks</w:t>
            </w:r>
          </w:p>
        </w:tc>
      </w:tr>
      <w:tr w:rsidR="00D65ACA">
        <w:tc>
          <w:tcPr>
            <w:tcW w:w="2000" w:type="pct"/>
            <w:vAlign w:val="bottom"/>
          </w:tcPr>
          <w:p w:rsidR="00D65ACA" w:rsidRDefault="00341184">
            <w:pPr>
              <w:spacing w:after="0" w:line="240" w:lineRule="auto"/>
            </w:pPr>
            <w:r>
              <w:rPr>
                <w:rFonts w:ascii="Calibri" w:hAnsi="Calibri" w:cs="Calibri"/>
                <w:sz w:val="18"/>
              </w:rPr>
              <w:t>PRIMICI OD FINANCIJSKE IMOVINE I ZADUŽIVANJA</w:t>
            </w:r>
          </w:p>
        </w:tc>
        <w:tc>
          <w:tcPr>
            <w:tcW w:w="800" w:type="pct"/>
            <w:vAlign w:val="bottom"/>
          </w:tcPr>
          <w:p w:rsidR="00D65ACA" w:rsidRDefault="00341184">
            <w:pPr>
              <w:spacing w:after="0" w:line="240" w:lineRule="auto"/>
              <w:jc w:val="right"/>
            </w:pPr>
            <w:r>
              <w:rPr>
                <w:rFonts w:ascii="Calibri" w:hAnsi="Calibri" w:cs="Calibri"/>
                <w:sz w:val="18"/>
              </w:rPr>
              <w:t>27.170.016</w:t>
            </w:r>
          </w:p>
        </w:tc>
        <w:tc>
          <w:tcPr>
            <w:tcW w:w="800" w:type="pct"/>
            <w:vAlign w:val="bottom"/>
          </w:tcPr>
          <w:p w:rsidR="00D65ACA" w:rsidRDefault="00341184">
            <w:pPr>
              <w:spacing w:after="0" w:line="240" w:lineRule="auto"/>
              <w:jc w:val="right"/>
            </w:pPr>
            <w:r>
              <w:rPr>
                <w:rFonts w:ascii="Calibri" w:hAnsi="Calibri" w:cs="Calibri"/>
                <w:sz w:val="18"/>
              </w:rPr>
              <w:t>3.168.115</w:t>
            </w:r>
          </w:p>
        </w:tc>
        <w:tc>
          <w:tcPr>
            <w:tcW w:w="800" w:type="pct"/>
            <w:vAlign w:val="bottom"/>
          </w:tcPr>
          <w:p w:rsidR="00D65ACA" w:rsidRDefault="00341184">
            <w:pPr>
              <w:spacing w:after="0" w:line="240" w:lineRule="auto"/>
              <w:jc w:val="right"/>
            </w:pPr>
            <w:r>
              <w:rPr>
                <w:rFonts w:ascii="Calibri" w:hAnsi="Calibri" w:cs="Calibri"/>
                <w:sz w:val="18"/>
              </w:rPr>
              <w:t>30.338.131</w:t>
            </w:r>
          </w:p>
        </w:tc>
        <w:tc>
          <w:tcPr>
            <w:tcW w:w="400" w:type="pct"/>
            <w:vAlign w:val="bottom"/>
          </w:tcPr>
          <w:p w:rsidR="00D65ACA" w:rsidRDefault="00341184">
            <w:pPr>
              <w:spacing w:after="0" w:line="240" w:lineRule="auto"/>
              <w:jc w:val="right"/>
            </w:pPr>
            <w:r>
              <w:rPr>
                <w:rFonts w:ascii="Calibri" w:hAnsi="Calibri" w:cs="Calibri"/>
                <w:sz w:val="18"/>
              </w:rPr>
              <w:t>111,7</w:t>
            </w:r>
          </w:p>
        </w:tc>
      </w:tr>
      <w:tr w:rsidR="00D65ACA">
        <w:tc>
          <w:tcPr>
            <w:tcW w:w="2000" w:type="pct"/>
            <w:vAlign w:val="bottom"/>
          </w:tcPr>
          <w:p w:rsidR="00D65ACA" w:rsidRDefault="00341184">
            <w:pPr>
              <w:spacing w:after="0" w:line="240" w:lineRule="auto"/>
            </w:pPr>
            <w:r>
              <w:rPr>
                <w:rFonts w:ascii="Calibri" w:hAnsi="Calibri" w:cs="Calibri"/>
                <w:sz w:val="18"/>
              </w:rPr>
              <w:t>IZDACI ZA FINANCIJSKU IMOVINU I OTPLATE ZAJMOVA</w:t>
            </w:r>
          </w:p>
        </w:tc>
        <w:tc>
          <w:tcPr>
            <w:tcW w:w="800" w:type="pct"/>
            <w:vAlign w:val="bottom"/>
          </w:tcPr>
          <w:p w:rsidR="00D65ACA" w:rsidRDefault="00341184">
            <w:pPr>
              <w:spacing w:after="0" w:line="240" w:lineRule="auto"/>
              <w:jc w:val="right"/>
            </w:pPr>
            <w:r>
              <w:rPr>
                <w:rFonts w:ascii="Calibri" w:hAnsi="Calibri" w:cs="Calibri"/>
                <w:sz w:val="18"/>
              </w:rPr>
              <w:t>7.012.000</w:t>
            </w:r>
          </w:p>
        </w:tc>
        <w:tc>
          <w:tcPr>
            <w:tcW w:w="800" w:type="pct"/>
            <w:vAlign w:val="bottom"/>
          </w:tcPr>
          <w:p w:rsidR="00D65ACA" w:rsidRDefault="00341184">
            <w:pPr>
              <w:spacing w:after="0" w:line="240" w:lineRule="auto"/>
              <w:jc w:val="right"/>
            </w:pPr>
            <w:r>
              <w:rPr>
                <w:rFonts w:ascii="Calibri" w:hAnsi="Calibri" w:cs="Calibri"/>
                <w:sz w:val="18"/>
              </w:rPr>
              <w:t>0</w:t>
            </w:r>
          </w:p>
        </w:tc>
        <w:tc>
          <w:tcPr>
            <w:tcW w:w="800" w:type="pct"/>
            <w:vAlign w:val="bottom"/>
          </w:tcPr>
          <w:p w:rsidR="00D65ACA" w:rsidRDefault="00341184">
            <w:pPr>
              <w:spacing w:after="0" w:line="240" w:lineRule="auto"/>
              <w:jc w:val="right"/>
            </w:pPr>
            <w:r>
              <w:rPr>
                <w:rFonts w:ascii="Calibri" w:hAnsi="Calibri" w:cs="Calibri"/>
                <w:sz w:val="18"/>
              </w:rPr>
              <w:t>7.012.000</w:t>
            </w:r>
          </w:p>
        </w:tc>
        <w:tc>
          <w:tcPr>
            <w:tcW w:w="400" w:type="pct"/>
            <w:vAlign w:val="bottom"/>
          </w:tcPr>
          <w:p w:rsidR="00D65ACA" w:rsidRDefault="00341184">
            <w:pPr>
              <w:spacing w:after="0" w:line="240" w:lineRule="auto"/>
              <w:jc w:val="right"/>
            </w:pPr>
            <w:r>
              <w:rPr>
                <w:rFonts w:ascii="Calibri" w:hAnsi="Calibri" w:cs="Calibri"/>
                <w:sz w:val="18"/>
              </w:rPr>
              <w:t>100,0</w:t>
            </w:r>
          </w:p>
        </w:tc>
      </w:tr>
      <w:tr w:rsidR="00D65ACA">
        <w:tc>
          <w:tcPr>
            <w:tcW w:w="2000" w:type="pct"/>
            <w:vAlign w:val="bottom"/>
          </w:tcPr>
          <w:p w:rsidR="00D65ACA" w:rsidRDefault="00341184">
            <w:pPr>
              <w:spacing w:after="0" w:line="240" w:lineRule="auto"/>
            </w:pPr>
            <w:r>
              <w:rPr>
                <w:rFonts w:ascii="Calibri" w:hAnsi="Calibri" w:cs="Calibri"/>
                <w:sz w:val="18"/>
              </w:rPr>
              <w:t>RAZLIKA PRIMITAKA I IZDATAKA</w:t>
            </w:r>
          </w:p>
        </w:tc>
        <w:tc>
          <w:tcPr>
            <w:tcW w:w="800" w:type="pct"/>
            <w:vAlign w:val="bottom"/>
          </w:tcPr>
          <w:p w:rsidR="00D65ACA" w:rsidRDefault="00341184">
            <w:pPr>
              <w:spacing w:after="0" w:line="240" w:lineRule="auto"/>
              <w:jc w:val="right"/>
            </w:pPr>
            <w:r>
              <w:rPr>
                <w:rFonts w:ascii="Calibri" w:hAnsi="Calibri" w:cs="Calibri"/>
                <w:sz w:val="18"/>
              </w:rPr>
              <w:t>20.158.016</w:t>
            </w:r>
          </w:p>
        </w:tc>
        <w:tc>
          <w:tcPr>
            <w:tcW w:w="800" w:type="pct"/>
            <w:vAlign w:val="bottom"/>
          </w:tcPr>
          <w:p w:rsidR="00D65ACA" w:rsidRDefault="00341184">
            <w:pPr>
              <w:spacing w:after="0" w:line="240" w:lineRule="auto"/>
              <w:jc w:val="right"/>
            </w:pPr>
            <w:r>
              <w:rPr>
                <w:rFonts w:ascii="Calibri" w:hAnsi="Calibri" w:cs="Calibri"/>
                <w:sz w:val="18"/>
              </w:rPr>
              <w:t>3.168.115</w:t>
            </w:r>
          </w:p>
        </w:tc>
        <w:tc>
          <w:tcPr>
            <w:tcW w:w="800" w:type="pct"/>
            <w:vAlign w:val="bottom"/>
          </w:tcPr>
          <w:p w:rsidR="00D65ACA" w:rsidRDefault="00341184">
            <w:pPr>
              <w:spacing w:after="0" w:line="240" w:lineRule="auto"/>
              <w:jc w:val="right"/>
            </w:pPr>
            <w:r>
              <w:rPr>
                <w:rFonts w:ascii="Calibri" w:hAnsi="Calibri" w:cs="Calibri"/>
                <w:sz w:val="18"/>
              </w:rPr>
              <w:t>23.326.131</w:t>
            </w:r>
          </w:p>
        </w:tc>
        <w:tc>
          <w:tcPr>
            <w:tcW w:w="400" w:type="pct"/>
            <w:vAlign w:val="bottom"/>
          </w:tcPr>
          <w:p w:rsidR="00D65ACA" w:rsidRDefault="00341184">
            <w:pPr>
              <w:spacing w:after="0" w:line="240" w:lineRule="auto"/>
              <w:jc w:val="right"/>
            </w:pPr>
            <w:r>
              <w:rPr>
                <w:rFonts w:ascii="Calibri" w:hAnsi="Calibri" w:cs="Calibri"/>
                <w:sz w:val="18"/>
              </w:rPr>
              <w:t>115,7</w:t>
            </w:r>
          </w:p>
        </w:tc>
      </w:tr>
      <w:tr w:rsidR="00D65ACA">
        <w:tc>
          <w:tcPr>
            <w:tcW w:w="2000" w:type="pct"/>
            <w:vAlign w:val="bottom"/>
          </w:tcPr>
          <w:p w:rsidR="00D65ACA" w:rsidRDefault="00341184">
            <w:pPr>
              <w:spacing w:after="0" w:line="240" w:lineRule="auto"/>
            </w:pPr>
            <w:r>
              <w:rPr>
                <w:rFonts w:ascii="Calibri" w:hAnsi="Calibri" w:cs="Calibri"/>
                <w:sz w:val="18"/>
              </w:rPr>
              <w:t>PRIJENOS SREDSTAVA IZ PRETHODNE GODINE</w:t>
            </w:r>
          </w:p>
        </w:tc>
        <w:tc>
          <w:tcPr>
            <w:tcW w:w="800" w:type="pct"/>
            <w:vAlign w:val="bottom"/>
          </w:tcPr>
          <w:p w:rsidR="00D65ACA" w:rsidRDefault="00341184">
            <w:pPr>
              <w:spacing w:after="0" w:line="240" w:lineRule="auto"/>
              <w:jc w:val="right"/>
            </w:pPr>
            <w:r>
              <w:rPr>
                <w:rFonts w:ascii="Calibri" w:hAnsi="Calibri" w:cs="Calibri"/>
                <w:sz w:val="18"/>
              </w:rPr>
              <w:t>0</w:t>
            </w:r>
          </w:p>
        </w:tc>
        <w:tc>
          <w:tcPr>
            <w:tcW w:w="800" w:type="pct"/>
            <w:vAlign w:val="bottom"/>
          </w:tcPr>
          <w:p w:rsidR="00D65ACA" w:rsidRDefault="00341184">
            <w:pPr>
              <w:spacing w:after="0" w:line="240" w:lineRule="auto"/>
              <w:jc w:val="right"/>
            </w:pPr>
            <w:r>
              <w:rPr>
                <w:rFonts w:ascii="Calibri" w:hAnsi="Calibri" w:cs="Calibri"/>
                <w:sz w:val="18"/>
              </w:rPr>
              <w:t>949.329</w:t>
            </w:r>
          </w:p>
        </w:tc>
        <w:tc>
          <w:tcPr>
            <w:tcW w:w="800" w:type="pct"/>
            <w:vAlign w:val="bottom"/>
          </w:tcPr>
          <w:p w:rsidR="00D65ACA" w:rsidRDefault="00341184">
            <w:pPr>
              <w:spacing w:after="0" w:line="240" w:lineRule="auto"/>
              <w:jc w:val="right"/>
            </w:pPr>
            <w:r>
              <w:rPr>
                <w:rFonts w:ascii="Calibri" w:hAnsi="Calibri" w:cs="Calibri"/>
                <w:sz w:val="18"/>
              </w:rPr>
              <w:t>949.329</w:t>
            </w:r>
          </w:p>
        </w:tc>
        <w:tc>
          <w:tcPr>
            <w:tcW w:w="400" w:type="pct"/>
            <w:vAlign w:val="bottom"/>
          </w:tcPr>
          <w:p w:rsidR="00D65ACA" w:rsidRDefault="00D65ACA">
            <w:pPr>
              <w:spacing w:after="0" w:line="240" w:lineRule="auto"/>
              <w:jc w:val="right"/>
            </w:pPr>
          </w:p>
        </w:tc>
      </w:tr>
      <w:tr w:rsidR="00D65ACA">
        <w:tc>
          <w:tcPr>
            <w:tcW w:w="2000" w:type="pct"/>
            <w:vAlign w:val="bottom"/>
          </w:tcPr>
          <w:p w:rsidR="00D65ACA" w:rsidRDefault="00341184">
            <w:pPr>
              <w:spacing w:after="0" w:line="240" w:lineRule="auto"/>
            </w:pPr>
            <w:r>
              <w:rPr>
                <w:rFonts w:ascii="Calibri" w:hAnsi="Calibri" w:cs="Calibri"/>
                <w:sz w:val="18"/>
              </w:rPr>
              <w:t>PRIJENOS SREDSTAVA U SLJEDEĆU GODINU</w:t>
            </w:r>
          </w:p>
        </w:tc>
        <w:tc>
          <w:tcPr>
            <w:tcW w:w="800" w:type="pct"/>
            <w:vAlign w:val="bottom"/>
          </w:tcPr>
          <w:p w:rsidR="00D65ACA" w:rsidRDefault="00341184">
            <w:pPr>
              <w:spacing w:after="0" w:line="240" w:lineRule="auto"/>
              <w:jc w:val="right"/>
            </w:pPr>
            <w:r>
              <w:rPr>
                <w:rFonts w:ascii="Calibri" w:hAnsi="Calibri" w:cs="Calibri"/>
                <w:sz w:val="18"/>
              </w:rPr>
              <w:t>-17.672</w:t>
            </w:r>
          </w:p>
        </w:tc>
        <w:tc>
          <w:tcPr>
            <w:tcW w:w="800" w:type="pct"/>
            <w:vAlign w:val="bottom"/>
          </w:tcPr>
          <w:p w:rsidR="00D65ACA" w:rsidRDefault="00341184">
            <w:pPr>
              <w:spacing w:after="0" w:line="240" w:lineRule="auto"/>
              <w:jc w:val="right"/>
            </w:pPr>
            <w:r>
              <w:rPr>
                <w:rFonts w:ascii="Calibri" w:hAnsi="Calibri" w:cs="Calibri"/>
                <w:sz w:val="18"/>
              </w:rPr>
              <w:t>-6.482.619</w:t>
            </w:r>
          </w:p>
        </w:tc>
        <w:tc>
          <w:tcPr>
            <w:tcW w:w="800" w:type="pct"/>
            <w:vAlign w:val="bottom"/>
          </w:tcPr>
          <w:p w:rsidR="00D65ACA" w:rsidRDefault="00341184">
            <w:pPr>
              <w:spacing w:after="0" w:line="240" w:lineRule="auto"/>
              <w:jc w:val="right"/>
            </w:pPr>
            <w:r>
              <w:rPr>
                <w:rFonts w:ascii="Calibri" w:hAnsi="Calibri" w:cs="Calibri"/>
                <w:sz w:val="18"/>
              </w:rPr>
              <w:t>-6.500.291</w:t>
            </w:r>
          </w:p>
        </w:tc>
        <w:tc>
          <w:tcPr>
            <w:tcW w:w="400" w:type="pct"/>
            <w:vAlign w:val="bottom"/>
          </w:tcPr>
          <w:p w:rsidR="00D65ACA" w:rsidRDefault="00341184">
            <w:pPr>
              <w:spacing w:after="0" w:line="240" w:lineRule="auto"/>
              <w:jc w:val="right"/>
            </w:pPr>
            <w:r>
              <w:rPr>
                <w:rFonts w:ascii="Calibri" w:hAnsi="Calibri" w:cs="Calibri"/>
                <w:sz w:val="18"/>
              </w:rPr>
              <w:t>36.783,0</w:t>
            </w:r>
          </w:p>
        </w:tc>
      </w:tr>
      <w:tr w:rsidR="00D65ACA">
        <w:tc>
          <w:tcPr>
            <w:tcW w:w="2000" w:type="pct"/>
            <w:vAlign w:val="bottom"/>
          </w:tcPr>
          <w:p w:rsidR="00D65ACA" w:rsidRDefault="00341184">
            <w:pPr>
              <w:spacing w:after="0" w:line="240" w:lineRule="auto"/>
            </w:pPr>
            <w:r>
              <w:rPr>
                <w:rFonts w:ascii="Calibri" w:hAnsi="Calibri" w:cs="Calibri"/>
                <w:b/>
                <w:sz w:val="18"/>
              </w:rPr>
              <w:t>NETO FINANCIRANJE</w:t>
            </w:r>
          </w:p>
        </w:tc>
        <w:tc>
          <w:tcPr>
            <w:tcW w:w="800" w:type="pct"/>
            <w:vAlign w:val="bottom"/>
          </w:tcPr>
          <w:p w:rsidR="00D65ACA" w:rsidRDefault="00341184">
            <w:pPr>
              <w:spacing w:after="0" w:line="240" w:lineRule="auto"/>
              <w:jc w:val="right"/>
            </w:pPr>
            <w:r>
              <w:rPr>
                <w:rFonts w:ascii="Calibri" w:hAnsi="Calibri" w:cs="Calibri"/>
                <w:b/>
                <w:sz w:val="18"/>
              </w:rPr>
              <w:t>20.140.344</w:t>
            </w:r>
          </w:p>
        </w:tc>
        <w:tc>
          <w:tcPr>
            <w:tcW w:w="800" w:type="pct"/>
            <w:vAlign w:val="bottom"/>
          </w:tcPr>
          <w:p w:rsidR="00D65ACA" w:rsidRDefault="00341184">
            <w:pPr>
              <w:spacing w:after="0" w:line="240" w:lineRule="auto"/>
              <w:jc w:val="right"/>
            </w:pPr>
            <w:r>
              <w:rPr>
                <w:rFonts w:ascii="Calibri" w:hAnsi="Calibri" w:cs="Calibri"/>
                <w:b/>
                <w:sz w:val="18"/>
              </w:rPr>
              <w:t>-2.365.175</w:t>
            </w:r>
          </w:p>
        </w:tc>
        <w:tc>
          <w:tcPr>
            <w:tcW w:w="800" w:type="pct"/>
            <w:vAlign w:val="bottom"/>
          </w:tcPr>
          <w:p w:rsidR="00D65ACA" w:rsidRDefault="00341184">
            <w:pPr>
              <w:spacing w:after="0" w:line="240" w:lineRule="auto"/>
              <w:jc w:val="right"/>
            </w:pPr>
            <w:r>
              <w:rPr>
                <w:rFonts w:ascii="Calibri" w:hAnsi="Calibri" w:cs="Calibri"/>
                <w:b/>
                <w:sz w:val="18"/>
              </w:rPr>
              <w:t>17.775.169</w:t>
            </w:r>
          </w:p>
        </w:tc>
        <w:tc>
          <w:tcPr>
            <w:tcW w:w="400" w:type="pct"/>
            <w:vAlign w:val="bottom"/>
          </w:tcPr>
          <w:p w:rsidR="00D65ACA" w:rsidRDefault="00341184">
            <w:pPr>
              <w:spacing w:after="0" w:line="240" w:lineRule="auto"/>
              <w:jc w:val="right"/>
            </w:pPr>
            <w:r>
              <w:rPr>
                <w:rFonts w:ascii="Calibri" w:hAnsi="Calibri" w:cs="Calibri"/>
                <w:b/>
                <w:sz w:val="18"/>
              </w:rPr>
              <w:t>88,3</w:t>
            </w:r>
          </w:p>
        </w:tc>
      </w:tr>
    </w:tbl>
    <w:p w:rsidR="00D65ACA" w:rsidRDefault="00D65ACA">
      <w:pPr>
        <w:spacing w:after="0" w:line="240" w:lineRule="auto"/>
      </w:pPr>
    </w:p>
    <w:p w:rsidR="00D65ACA" w:rsidRDefault="00341184">
      <w:pPr>
        <w:spacing w:line="240" w:lineRule="auto"/>
        <w:jc w:val="both"/>
      </w:pPr>
      <w:r>
        <w:rPr>
          <w:rFonts w:ascii="Calibri" w:hAnsi="Calibri" w:cs="Calibri"/>
          <w:color w:val="000000"/>
        </w:rPr>
        <w:t xml:space="preserve">Dana 6. veljače 2025. godine donesena je Odluka Vlade Republike Hrvatske o prihvaćanju nagodbe o uređenju imovinsko-pravnih pitanja preostalih nakon podjele HŽ Hrvatskih Željeznica d.o.o. između Republike Hrvatske i društva HŽ Putnički prijevoz d.o.o. U svrhu podmirivanja dijela naknade za namiru koju Republika Hrvatska ima dati društvu HŽ Putnički prijevoz, Ministarstvo financija će preuzeti otplatu iznosa nedospjelih neotplaćenih kreditnih obveza Društva za četiri kreditna zaduženja, počevši od 1. siječnja 2026. godine pa do kraja otplate. Nadalje, iznos od 3.168.115,10 </w:t>
      </w:r>
      <w:r w:rsidR="00445316">
        <w:rPr>
          <w:rFonts w:ascii="Calibri" w:hAnsi="Calibri" w:cs="Calibri"/>
          <w:color w:val="000000"/>
        </w:rPr>
        <w:t>EUR</w:t>
      </w:r>
      <w:r>
        <w:rPr>
          <w:rFonts w:ascii="Calibri" w:hAnsi="Calibri" w:cs="Calibri"/>
          <w:color w:val="000000"/>
        </w:rPr>
        <w:t xml:space="preserve"> za razliku za namiru osigurava se u Državnom proračunu Republike Hrvatske te će isplatiti Društvu tijekom 2025. godine. Na temelju navedenog, planirani primici od financijske imovine i zaduživanja za 2025. povećani su za 3.168.115,10 </w:t>
      </w:r>
      <w:r w:rsidR="00445316">
        <w:rPr>
          <w:rFonts w:ascii="Calibri" w:hAnsi="Calibri" w:cs="Calibri"/>
          <w:color w:val="000000"/>
        </w:rPr>
        <w:t xml:space="preserve">EUR </w:t>
      </w:r>
      <w:r>
        <w:rPr>
          <w:rFonts w:ascii="Calibri" w:hAnsi="Calibri" w:cs="Calibri"/>
          <w:color w:val="000000"/>
        </w:rPr>
        <w:t>u odnosu na usvojeni plan, odnosno za 11,7 %. Planirani izdaci za otplatu glavnice primljenih kredita i zajmova za 2025. godinu su nepromijenjeni.</w:t>
      </w:r>
      <w:bookmarkStart w:id="0" w:name="_GoBack"/>
      <w:bookmarkEnd w:id="0"/>
    </w:p>
    <w:sectPr w:rsidR="00D65ACA">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6A2" w:rsidRDefault="00341184">
      <w:pPr>
        <w:spacing w:after="0" w:line="240" w:lineRule="auto"/>
      </w:pPr>
      <w:r>
        <w:separator/>
      </w:r>
    </w:p>
  </w:endnote>
  <w:endnote w:type="continuationSeparator" w:id="0">
    <w:p w:rsidR="002236A2" w:rsidRDefault="00341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ACA" w:rsidRDefault="00341184">
    <w:pPr>
      <w:jc w:val="right"/>
    </w:pPr>
    <w:r>
      <w:fldChar w:fldCharType="begin"/>
    </w:r>
    <w:r>
      <w:instrText>Page</w:instrText>
    </w:r>
    <w:r>
      <w:fldChar w:fldCharType="separate"/>
    </w:r>
    <w:r w:rsidR="00445316">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6A2" w:rsidRDefault="00341184">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6A2" w:rsidRDefault="00341184">
      <w:pPr>
        <w:spacing w:after="0" w:line="240" w:lineRule="auto"/>
      </w:pPr>
      <w:r>
        <w:separator/>
      </w:r>
    </w:p>
  </w:footnote>
  <w:footnote w:type="continuationSeparator" w:id="0">
    <w:p w:rsidR="002236A2" w:rsidRDefault="003411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65ACA"/>
    <w:rsid w:val="002236A2"/>
    <w:rsid w:val="00341184"/>
    <w:rsid w:val="00445316"/>
    <w:rsid w:val="00D65A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CC9B0"/>
  <w15:docId w15:val="{C94FC09B-9CB1-4AA4-99B2-5B9750FB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1206</Words>
  <Characters>6879</Characters>
  <Application>Microsoft Office Word</Application>
  <DocSecurity>0</DocSecurity>
  <Lines>57</Lines>
  <Paragraphs>16</Paragraphs>
  <ScaleCrop>false</ScaleCrop>
  <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3</cp:revision>
  <dcterms:created xsi:type="dcterms:W3CDTF">2025-09-29T12:05:00Z</dcterms:created>
  <dcterms:modified xsi:type="dcterms:W3CDTF">2025-10-01T07:47:00Z</dcterms:modified>
</cp:coreProperties>
</file>